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drawing>
          <wp:anchor behindDoc="0" distT="0" distB="2540" distL="114300" distR="120650" simplePos="0" locked="0" layoutInCell="1" allowOverlap="1" relativeHeight="2">
            <wp:simplePos x="0" y="0"/>
            <wp:positionH relativeFrom="column">
              <wp:posOffset>4478655</wp:posOffset>
            </wp:positionH>
            <wp:positionV relativeFrom="paragraph">
              <wp:posOffset>-441960</wp:posOffset>
            </wp:positionV>
            <wp:extent cx="1936750" cy="817245"/>
            <wp:effectExtent l="0" t="0" r="0" b="0"/>
            <wp:wrapTight wrapText="bothSides">
              <wp:wrapPolygon edited="0">
                <wp:start x="7583" y="0"/>
                <wp:lineTo x="329" y="5508"/>
                <wp:lineTo x="543" y="13030"/>
                <wp:lineTo x="2887" y="16050"/>
                <wp:lineTo x="-98" y="17048"/>
                <wp:lineTo x="-98" y="18549"/>
                <wp:lineTo x="2463" y="21066"/>
                <wp:lineTo x="18460" y="21066"/>
                <wp:lineTo x="21450" y="18549"/>
                <wp:lineTo x="21450" y="17048"/>
                <wp:lineTo x="18678" y="16050"/>
                <wp:lineTo x="21026" y="13030"/>
                <wp:lineTo x="20813" y="7018"/>
                <wp:lineTo x="17823" y="4007"/>
                <wp:lineTo x="12489" y="0"/>
                <wp:lineTo x="7583" y="0"/>
              </wp:wrapPolygon>
            </wp:wrapTight>
            <wp:docPr id="1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8890" distL="114300" distR="114300" simplePos="0" locked="0" layoutInCell="1" allowOverlap="1" relativeHeight="3">
            <wp:simplePos x="0" y="0"/>
            <wp:positionH relativeFrom="column">
              <wp:posOffset>-309880</wp:posOffset>
            </wp:positionH>
            <wp:positionV relativeFrom="paragraph">
              <wp:posOffset>-330200</wp:posOffset>
            </wp:positionV>
            <wp:extent cx="4500245" cy="543560"/>
            <wp:effectExtent l="0" t="0" r="0" b="0"/>
            <wp:wrapSquare wrapText="bothSides"/>
            <wp:docPr id="2" name="Imagen 1" descr="C:\Users\Live\Desktop\Agendas Maq Portugal\FINALES\Agendas\Agendas\ProgramaAP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C:\Users\Live\Desktop\Agendas Maq Portugal\FINALES\Agendas\Agendas\ProgramaAPAP2017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rFonts w:cs="Verdana"/>
          <w:b/>
          <w:b/>
          <w:color w:val="800000"/>
        </w:rPr>
      </w:pPr>
      <w:r>
        <w:rPr>
          <w:rFonts w:cs="Verdana"/>
          <w:b/>
          <w:color w:val="800000"/>
        </w:rPr>
      </w:r>
    </w:p>
    <w:p>
      <w:pPr>
        <w:pStyle w:val="Standard"/>
        <w:jc w:val="center"/>
        <w:rPr>
          <w:rFonts w:cs="Verdana"/>
          <w:b/>
          <w:b/>
        </w:rPr>
      </w:pPr>
      <w:r>
        <w:rPr/>
      </w:r>
    </w:p>
    <w:p>
      <w:pPr>
        <w:pStyle w:val="Standard"/>
        <w:jc w:val="center"/>
        <w:rPr>
          <w:rFonts w:cs="Verdana"/>
          <w:b/>
          <w:b/>
        </w:rPr>
      </w:pPr>
      <w:r>
        <w:rPr>
          <w:rFonts w:cs="Verdana"/>
          <w:b/>
        </w:rPr>
        <w:t>Hotel NH Collection Sevilla</w:t>
      </w:r>
    </w:p>
    <w:p>
      <w:pPr>
        <w:pStyle w:val="Standard"/>
        <w:jc w:val="center"/>
        <w:rPr>
          <w:rFonts w:cs="Verdana"/>
        </w:rPr>
      </w:pPr>
      <w:r>
        <w:rPr>
          <w:rFonts w:cs="Verdana"/>
        </w:rPr>
        <w:t xml:space="preserve"> </w:t>
      </w:r>
      <w:r>
        <w:rPr>
          <w:rFonts w:cs="Verdana"/>
        </w:rPr>
        <w:t>Avda Diego Martinez Barrio, 8</w:t>
      </w:r>
    </w:p>
    <w:p>
      <w:pPr>
        <w:pStyle w:val="Standard"/>
        <w:jc w:val="center"/>
        <w:rPr>
          <w:rFonts w:cs="Verdana"/>
        </w:rPr>
      </w:pPr>
      <w:r>
        <w:rPr>
          <w:rFonts w:cs="Verdana"/>
        </w:rPr>
        <w:t>41013 Sevilla</w:t>
      </w:r>
    </w:p>
    <w:p>
      <w:pPr>
        <w:pStyle w:val="Standard"/>
        <w:jc w:val="center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Standard"/>
        <w:jc w:val="center"/>
        <w:rPr>
          <w:rFonts w:ascii="Verdana" w:hAnsi="Verdana" w:cs="Verdana"/>
          <w:b/>
          <w:b/>
          <w:sz w:val="28"/>
          <w:szCs w:val="28"/>
        </w:rPr>
      </w:pPr>
      <w:r>
        <w:rPr>
          <w:rFonts w:cs="Verdana" w:ascii="Verdana" w:hAnsi="Verdana"/>
          <w:b/>
          <w:sz w:val="28"/>
          <w:szCs w:val="28"/>
        </w:rPr>
        <w:t>AGENDA</w:t>
      </w:r>
    </w:p>
    <w:p>
      <w:pPr>
        <w:pStyle w:val="Standard"/>
        <w:rPr/>
      </w:pPr>
      <w:r>
        <w:rPr/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/>
      </w:pPr>
      <w:r>
        <w:rPr>
          <w:rFonts w:cs="Verdana"/>
          <w:b/>
          <w:sz w:val="32"/>
          <w:szCs w:val="32"/>
        </w:rPr>
        <w:t>SEVILLA, martes 17 de OCTUBRE de 2017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14:00-14:45           </w:t>
      </w:r>
      <w:r>
        <w:rPr>
          <w:rFonts w:cs="Verdana"/>
        </w:rPr>
        <w:t>Recepción, entrega de documentación y almuerzo</w:t>
      </w:r>
      <w:r>
        <w:rPr/>
        <w:t xml:space="preserve">  </w:t>
      </w:r>
    </w:p>
    <w:p>
      <w:pPr>
        <w:pStyle w:val="Standard"/>
        <w:rPr/>
      </w:pPr>
      <w:r>
        <w:rPr/>
      </w:r>
    </w:p>
    <w:p>
      <w:pPr>
        <w:pStyle w:val="Standard"/>
        <w:rPr>
          <w:rFonts w:cs="Verdana"/>
        </w:rPr>
      </w:pPr>
      <w:r>
        <w:rPr/>
        <w:t xml:space="preserve">14:45-14:50           </w:t>
      </w:r>
      <w:r>
        <w:rPr>
          <w:rFonts w:cs="Verdana"/>
        </w:rPr>
        <w:t>Bienvenida e introducción</w:t>
        <w:tab/>
        <w:tab/>
      </w:r>
    </w:p>
    <w:p>
      <w:pPr>
        <w:pStyle w:val="Standard"/>
        <w:ind w:left="1166" w:firstLine="252"/>
        <w:rPr/>
      </w:pPr>
      <w:r>
        <w:rPr>
          <w:rFonts w:cs="Verdana"/>
        </w:rPr>
        <w:t xml:space="preserve">       </w:t>
      </w:r>
      <w:r>
        <w:rPr>
          <w:rFonts w:cs="Verdana"/>
        </w:rPr>
        <w:t>Dr. Venancio Martínez Suárez</w:t>
      </w:r>
    </w:p>
    <w:p>
      <w:pPr>
        <w:pStyle w:val="Standard"/>
        <w:rPr>
          <w:rFonts w:cs="Verdana"/>
        </w:rPr>
      </w:pPr>
      <w:r>
        <w:rPr>
          <w:rFonts w:cs="Verdana"/>
        </w:rPr>
      </w:r>
    </w:p>
    <w:p>
      <w:pPr>
        <w:pStyle w:val="Standard"/>
        <w:ind w:left="1875" w:hanging="1860"/>
        <w:rPr/>
      </w:pPr>
      <w:r>
        <w:rPr>
          <w:rFonts w:cs="Verdana"/>
        </w:rPr>
        <w:t xml:space="preserve">14:50-15:35          </w:t>
      </w:r>
      <w:r>
        <w:rPr>
          <w:rFonts w:cs="Verdana"/>
          <w:b/>
          <w:bCs/>
        </w:rPr>
        <w:t>TDAH: actualización del diagnóstico y del tratamiento.</w:t>
      </w:r>
    </w:p>
    <w:p>
      <w:pPr>
        <w:pStyle w:val="Standard"/>
        <w:ind w:left="1815" w:hanging="1875"/>
        <w:rPr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 xml:space="preserve"> </w:t>
      </w:r>
      <w:r>
        <w:rPr>
          <w:rFonts w:cs="Verdana"/>
        </w:rPr>
        <w:t>Dr. Alberto Fernández Jaén</w:t>
      </w:r>
    </w:p>
    <w:p>
      <w:pPr>
        <w:pStyle w:val="Standard"/>
        <w:ind w:left="1909" w:hanging="1892"/>
        <w:rPr>
          <w:rFonts w:cs="Verdana"/>
        </w:rPr>
      </w:pPr>
      <w:r>
        <w:rPr>
          <w:rFonts w:cs="Verdana"/>
        </w:rPr>
      </w:r>
    </w:p>
    <w:p>
      <w:pPr>
        <w:pStyle w:val="Standard"/>
        <w:ind w:left="1815" w:hanging="1892"/>
        <w:rPr/>
      </w:pPr>
      <w:r>
        <w:rPr>
          <w:rFonts w:cs="Verdana"/>
        </w:rPr>
        <w:t xml:space="preserve">15:35-16:20            </w:t>
      </w:r>
      <w:r>
        <w:rPr>
          <w:rFonts w:cs="Verdana"/>
          <w:b/>
          <w:bCs/>
        </w:rPr>
        <w:t>Novedades en vacunas que debemos conocer.</w:t>
      </w:r>
      <w:r>
        <w:rPr>
          <w:rFonts w:cs="Verdana"/>
          <w:b/>
        </w:rPr>
        <w:t xml:space="preserve"> </w:t>
      </w:r>
      <w:r>
        <w:rPr>
          <w:rFonts w:cs="Verdana"/>
          <w:b/>
          <w:bCs/>
        </w:rPr>
        <w:t xml:space="preserve"> </w:t>
      </w:r>
    </w:p>
    <w:p>
      <w:pPr>
        <w:pStyle w:val="Standard"/>
        <w:ind w:left="1890" w:hanging="1892"/>
        <w:rPr/>
      </w:pPr>
      <w:r>
        <w:rPr>
          <w:rFonts w:cs="Verdana"/>
          <w:b/>
          <w:bCs/>
        </w:rPr>
        <w:t xml:space="preserve">                             </w:t>
      </w:r>
      <w:r>
        <w:rPr>
          <w:rFonts w:cs="Verdana"/>
        </w:rPr>
        <w:t xml:space="preserve"> </w:t>
      </w:r>
      <w:r>
        <w:rPr>
          <w:rFonts w:cs="Verdana"/>
        </w:rPr>
        <w:t>Dr. Federico Martinón Torres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rFonts w:cs="Verdana"/>
        </w:rPr>
        <w:t xml:space="preserve">16:20-17:05          </w:t>
      </w:r>
      <w:r>
        <w:rPr>
          <w:rFonts w:cs="Verdana"/>
          <w:b/>
          <w:bCs/>
        </w:rPr>
        <w:t>Toma de decisiones en emergencias pediátricas extra hospitalarias.</w:t>
      </w:r>
    </w:p>
    <w:p>
      <w:pPr>
        <w:pStyle w:val="Standard"/>
        <w:tabs>
          <w:tab w:val="left" w:pos="2070" w:leader="none"/>
        </w:tabs>
        <w:ind w:left="1830" w:hanging="1890"/>
        <w:rPr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Luis Sánchez Santos</w:t>
      </w:r>
    </w:p>
    <w:p>
      <w:pPr>
        <w:pStyle w:val="Standard"/>
        <w:ind w:left="1890" w:hanging="1892"/>
        <w:rPr/>
      </w:pPr>
      <w:r>
        <w:rPr/>
      </w:r>
    </w:p>
    <w:p>
      <w:pPr>
        <w:pStyle w:val="Standard"/>
        <w:ind w:left="1800" w:hanging="1875"/>
        <w:rPr/>
      </w:pPr>
      <w:r>
        <w:rPr/>
        <w:t xml:space="preserve"> </w:t>
      </w:r>
      <w:r>
        <w:rPr/>
        <w:t xml:space="preserve">17:05-17:50           </w:t>
      </w:r>
      <w:r>
        <w:rPr>
          <w:rFonts w:cs="Verdana"/>
          <w:b/>
          <w:bCs/>
        </w:rPr>
        <w:t>La fiebre y el dolor como manifestaciones de la enfermedad en la edad               pediátrica.</w:t>
      </w:r>
    </w:p>
    <w:p>
      <w:pPr>
        <w:pStyle w:val="Standard"/>
        <w:tabs>
          <w:tab w:val="left" w:pos="2070" w:leader="none"/>
        </w:tabs>
        <w:ind w:left="1830" w:hanging="1815"/>
        <w:rPr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>Dr. Ignacio Manrique Martínez</w:t>
      </w:r>
    </w:p>
    <w:p>
      <w:pPr>
        <w:pStyle w:val="Standard"/>
        <w:ind w:left="-17" w:hanging="0"/>
        <w:rPr>
          <w:rFonts w:cs="Verdana"/>
          <w:b/>
          <w:b/>
          <w:bCs/>
        </w:rPr>
      </w:pPr>
      <w:r>
        <w:rPr>
          <w:rFonts w:cs="Verdana"/>
          <w:b/>
          <w:bCs/>
        </w:rPr>
      </w:r>
    </w:p>
    <w:p>
      <w:pPr>
        <w:pStyle w:val="Standard"/>
        <w:ind w:left="1770" w:hanging="1858"/>
        <w:rPr/>
      </w:pPr>
      <w:r>
        <w:rPr>
          <w:rFonts w:cs="Verdana"/>
        </w:rPr>
        <w:t xml:space="preserve"> </w:t>
      </w:r>
      <w:r>
        <w:rPr>
          <w:rFonts w:cs="Verdana"/>
        </w:rPr>
        <w:t xml:space="preserve">17:50- 18:15  </w:t>
      </w:r>
      <w:r>
        <w:rPr>
          <w:rFonts w:cs="Verdana"/>
          <w:b/>
          <w:bCs/>
        </w:rPr>
        <w:t xml:space="preserve">        </w:t>
      </w:r>
      <w:r>
        <w:rPr>
          <w:rFonts w:cs="Verdana"/>
        </w:rPr>
        <w:t>Descanso-Café</w:t>
      </w:r>
    </w:p>
    <w:p>
      <w:pPr>
        <w:pStyle w:val="Standard"/>
        <w:ind w:left="1841" w:hanging="0"/>
        <w:rPr>
          <w:rFonts w:cs="Verdana"/>
          <w:b/>
          <w:b/>
          <w:bCs/>
        </w:rPr>
      </w:pPr>
      <w:r>
        <w:rPr>
          <w:rFonts w:cs="Verdana"/>
          <w:b/>
          <w:bCs/>
        </w:rPr>
      </w:r>
    </w:p>
    <w:p>
      <w:pPr>
        <w:pStyle w:val="Standard"/>
        <w:ind w:left="1875" w:hanging="1875"/>
        <w:rPr/>
      </w:pPr>
      <w:r>
        <w:rPr>
          <w:rFonts w:cs="Verdana"/>
        </w:rPr>
        <w:t xml:space="preserve">18:15-19:00           </w:t>
      </w:r>
      <w:r>
        <w:rPr>
          <w:rFonts w:cs="Verdana"/>
          <w:b/>
          <w:bCs/>
        </w:rPr>
        <w:t>Patología dermatológica prevalente en el niño: abordaje general.</w:t>
      </w:r>
    </w:p>
    <w:p>
      <w:pPr>
        <w:pStyle w:val="Standard"/>
        <w:rPr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Raúl de Lucas Laguna</w:t>
      </w:r>
    </w:p>
    <w:p>
      <w:pPr>
        <w:pStyle w:val="Standard"/>
        <w:ind w:left="1824" w:hanging="1824"/>
        <w:rPr/>
      </w:pPr>
      <w:r>
        <w:rPr/>
      </w:r>
    </w:p>
    <w:p>
      <w:pPr>
        <w:pStyle w:val="Standard"/>
        <w:rPr/>
      </w:pPr>
      <w:r>
        <w:rPr>
          <w:rFonts w:cs="Verdana"/>
        </w:rPr>
        <w:t xml:space="preserve">19:00-19:45           </w:t>
      </w:r>
      <w:r>
        <w:rPr>
          <w:rFonts w:cs="Verdana"/>
          <w:b/>
          <w:bCs/>
        </w:rPr>
        <w:t>Evidencia sobre el uso de probióticos en pediatría.</w:t>
      </w:r>
    </w:p>
    <w:p>
      <w:pPr>
        <w:pStyle w:val="Standard"/>
        <w:ind w:left="1830" w:hanging="1824"/>
        <w:rPr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Guillermo Álvarez Calatayud</w:t>
      </w:r>
    </w:p>
    <w:p>
      <w:pPr>
        <w:pStyle w:val="Standard"/>
        <w:rPr>
          <w:rFonts w:cs="Verdana"/>
          <w:b/>
          <w:b/>
          <w:bCs/>
        </w:rPr>
      </w:pPr>
      <w:r>
        <w:rPr>
          <w:rFonts w:cs="Verdana"/>
          <w:b/>
          <w:bCs/>
        </w:rPr>
      </w:r>
    </w:p>
    <w:p>
      <w:pPr>
        <w:pStyle w:val="Standard"/>
        <w:ind w:left="1815" w:hanging="1875"/>
        <w:rPr/>
      </w:pPr>
      <w:r>
        <w:rPr>
          <w:rFonts w:cs="Verdana"/>
          <w:b/>
          <w:bCs/>
        </w:rPr>
        <w:t xml:space="preserve"> </w:t>
      </w:r>
      <w:r>
        <w:rPr>
          <w:rFonts w:cs="Verdana"/>
        </w:rPr>
        <w:t xml:space="preserve">19:45-20:30 </w:t>
      </w:r>
      <w:r>
        <w:rPr>
          <w:rFonts w:cs="Verdana"/>
          <w:b/>
          <w:bCs/>
        </w:rPr>
        <w:t xml:space="preserve">          </w:t>
      </w:r>
      <w:r>
        <w:rPr>
          <w:rFonts w:cs="Verdana"/>
          <w:b/>
        </w:rPr>
        <w:t>Diagnóstico y tratamiento de la anafilaxia. Importancia de la adrenalina</w:t>
      </w:r>
      <w:r>
        <w:rPr>
          <w:rFonts w:cs="Verdana"/>
        </w:rPr>
        <w:t>.</w:t>
      </w:r>
    </w:p>
    <w:p>
      <w:pPr>
        <w:pStyle w:val="Standard"/>
        <w:ind w:left="1845" w:hanging="1875"/>
        <w:rPr>
          <w:rFonts w:cs="Verdana"/>
        </w:rPr>
      </w:pPr>
      <w:r>
        <w:rPr>
          <w:rFonts w:cs="Verdana"/>
          <w:b/>
          <w:bCs/>
        </w:rPr>
        <w:t xml:space="preserve">           </w:t>
      </w:r>
      <w:bookmarkStart w:id="0" w:name="_GoBack"/>
      <w:bookmarkEnd w:id="0"/>
      <w:r>
        <w:rPr>
          <w:rFonts w:cs="Verdana"/>
          <w:b/>
          <w:bCs/>
        </w:rPr>
        <w:t xml:space="preserve">                </w:t>
      </w:r>
      <w:r>
        <w:rPr>
          <w:rFonts w:cs="Verdana"/>
        </w:rPr>
        <w:t xml:space="preserve">    </w:t>
      </w:r>
      <w:r>
        <w:rPr>
          <w:rFonts w:cs="Verdana"/>
        </w:rPr>
        <w:t>Dr. Roberto Pelta Fernández</w:t>
      </w:r>
    </w:p>
    <w:p>
      <w:pPr>
        <w:pStyle w:val="Standard"/>
        <w:ind w:left="1790" w:hanging="1824"/>
        <w:rPr>
          <w:rFonts w:cs="Verdana"/>
        </w:rPr>
      </w:pPr>
      <w:r>
        <w:rPr>
          <w:rFonts w:cs="Verdana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</w:t>
      </w:r>
      <w:r>
        <w:rPr>
          <w:rFonts w:cs="Verdana"/>
        </w:rPr>
        <w:t>Encuesta de Satisfacción y Certificados de Asistencia</w:t>
      </w:r>
    </w:p>
    <w:p>
      <w:pPr>
        <w:pStyle w:val="Standard"/>
        <w:jc w:val="both"/>
        <w:rPr>
          <w:rFonts w:cs="Verdana"/>
          <w:b/>
          <w:b/>
          <w:bCs/>
        </w:rPr>
      </w:pPr>
      <w:r>
        <w:rPr>
          <w:rFonts w:cs="Verdana"/>
          <w:b/>
          <w:bCs/>
        </w:rPr>
        <w:t xml:space="preserve">                                        </w:t>
      </w:r>
      <w:r>
        <w:rPr>
          <w:rFonts w:cs="Verdana"/>
          <w:b/>
          <w:bCs/>
        </w:rPr>
        <w:t>Coordinador de la sesión: Dr. Venancio Martínez Suárez</w:t>
      </w:r>
    </w:p>
    <w:p>
      <w:pPr>
        <w:pStyle w:val="Standard"/>
        <w:ind w:left="1620" w:hanging="1620"/>
        <w:jc w:val="both"/>
        <w:rPr/>
      </w:pPr>
      <w:r>
        <w:rPr>
          <w:rFonts w:cs="Verdana"/>
          <w:b/>
        </w:rPr>
        <w:t xml:space="preserve">                                        </w:t>
      </w:r>
      <w:r>
        <w:rPr>
          <w:rFonts w:cs="Verdana"/>
          <w:b/>
        </w:rPr>
        <w:t>Director Científico: Dr. José María Molero García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00000A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Encabezado" w:customStyle="1">
    <w:name w:val="Encabezado"/>
    <w:next w:val="Cuerpodetexto"/>
    <w:qFormat/>
    <w:pPr>
      <w:keepNext/>
      <w:widowControl w:val="false"/>
      <w:spacing w:before="240" w:after="120"/>
    </w:pPr>
    <w:rPr>
      <w:rFonts w:ascii="Arial" w:hAnsi="Arial" w:eastAsia="WenQuanYi Micro Hei" w:cs="Lohit Hindi"/>
      <w:color w:val="auto"/>
      <w:sz w:val="28"/>
      <w:szCs w:val="28"/>
      <w:lang w:val="es-ES" w:eastAsia="zh-CN" w:bidi="hi-IN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ascii="Times New Roman" w:hAnsi="Times New Roman" w:eastAsia="WenQuanYi Micro Hei" w:cs="Lohit Hindi"/>
      <w:color w:val="auto"/>
      <w:sz w:val="24"/>
      <w:szCs w:val="24"/>
      <w:lang w:val="es-ES" w:eastAsia="zh-CN" w:bidi="hi-IN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</w:pPr>
    <w:rPr>
      <w:rFonts w:ascii="Times New Roman" w:hAnsi="Times New Roman" w:eastAsia="WenQuanYi Micro Hei" w:cs="Lohit Hindi"/>
      <w:color w:val="auto"/>
      <w:sz w:val="24"/>
      <w:szCs w:val="24"/>
      <w:lang w:val="es-ES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156</Words>
  <Characters>989</Characters>
  <CharactersWithSpaces>1583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2017-06-27T08:57:00Z</dcterms:created>
  <dc:creator>Elena Duran</dc:creator>
  <dc:description/>
  <dc:language>es-ES</dc:language>
  <cp:lastModifiedBy/>
  <cp:lastPrinted>2017-03-16T13:57:00Z</cp:lastPrinted>
  <dcterms:modified xsi:type="dcterms:W3CDTF">2017-06-27T11:17:14Z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